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180</w:t>
      </w:r>
    </w:p>
    <w:p>
      <w:r>
        <w:t>Bundesgericht (BGE), 1973-09-13, DE</w:t>
      </w:r>
    </w:p>
    <w:p>
      <w:r>
        <w:rPr>
          <w:b/>
        </w:rPr>
        <w:t xml:space="preserve">Quelle: </w:t>
      </w:r>
      <w:r>
        <w:t>https://mcp.opencaselaw.ch/entscheid/bge_99 IV 180</w:t>
      </w:r>
    </w:p>
    <w:p>
      <w:r>
        <w:t>FR: ATF 99 IV 180</w:t>
      </w:r>
    </w:p>
    <w:p>
      <w:r>
        <w:t>IT: DTF 99 IV 180</w:t>
      </w:r>
    </w:p>
    <w:p>
      <w:pPr>
        <w:pStyle w:val="Heading2"/>
      </w:pPr>
      <w:r>
        <w:t>Regeste</w:t>
      </w:r>
    </w:p>
    <w:p>
      <w:r>
        <w:t>Regeste Art. 346 StGB. Gerichtsstand zur Verfolgung des Täters, der seine Unterhaltspflichten gegenüber einem Berechtigten im Ausland vernachlässigt.</w:t>
      </w:r>
    </w:p>
    <w:p>
      <w:pPr>
        <w:pStyle w:val="Heading2"/>
      </w:pPr>
      <w:r>
        <w:t>Erwägungen</w:t>
      </w:r>
    </w:p>
    <w:p>
      <w:r>
        <w:rPr>
          <w:b/>
        </w:rPr>
        <w:t>E. 1</w:t>
      </w:r>
    </w:p>
    <w:p>
      <w:r>
        <w:t>Wer in der Zeit, da er sich in der Schweiz befindet, im Sinne des Art. 217 StGB Unterhaltspflichten vernachlässigt, hat sich selbst dann hier zu verantworten, wenn der Unterhaltsberechtigte BGE 99 IV 180 S. 182 den Wohnsitz im Auslande hat. Der Unterhaltspflichtige kann diesfalls überall dort verfolgt werden, wo er zur Zeit, da er hätte erfüllen sollen, sich aufhielt. An diesen Orten fasste er den massgebenden Entschluss und dauerte sein böser Wille, seine Arbeitsscheu oder seine Liederlichkeit an, und hier unterliess er die Vorkehren, die er hätte treffen müssen, um dem Berechtigten die geschuldeten Leistungen zukommen zu lassen. Das sind im Sinne des Art. 346 StGB die Ausführungsorte seines Unterlassungsdeliktes ( BGE 82 IV 68 f.). Bestehen mehrere Ausführungsorte im Sinne dieser Rechtsprechung, so befindet sich der Gerichtsstand an jenem, wo die Untersuchung zuerst angehoben wurde ( Art. 346 Abs. 2 StGB ). Es kommt nicht darauf an, an welchem der mehreren Orte der Beschuldigte sich länger aufgehalten hat oder im Zeitpunkt der Anhebung der Untersuchung sich befindet. Unerheblich ist auch, an welchem Orte er arbeitete und Verdienst hatte; denn die Erfüllungshandlungen sind nicht nur an diesem Orte, sondern überall dort vorzunehmen, wo der Unterhaltspflichtige weilt und dazu in der Lage ist, z.B. auch an seinen Ferienorten. Das ergibt sich schon daraus, dass auch der Müssige einen Gerichtsstand haben muss.</w:t>
      </w:r>
    </w:p>
    <w:p>
      <w:r>
        <w:rPr>
          <w:b/>
        </w:rPr>
        <w:t>E. 2</w:t>
      </w:r>
    </w:p>
    <w:p>
      <w:r>
        <w:t>Die Untersuchung ist am 20. Mai 1973 durch den Eingang der Strafanzeige beim Polizeikommando des Kantons Schaffhausen angehoben worden ( BGE 68 IV 6 , 53, BGE 71 IV 59 , BGE 75 IV 140 ). Schaffhausen ist auch einer der mehreren Ausführungsorte. Hier hat sich der Beschuldigte in der Zeit, da er Unterhaltsbeiträge hätte leisten sollen, zeitweise aufgehalten. Der Gerichtsstand befindet sich daher in Schaffhausen.</w:t>
      </w:r>
    </w:p>
    <w:p>
      <w:r>
        <w:rPr>
          <w:b/>
        </w:rPr>
        <w:t>E. 3</w:t>
      </w:r>
    </w:p>
    <w:p>
      <w:r>
        <w:t>Es besteht kein Grund, in sinngemässer Anwendung des Art. 263 BStP hievon abzuweichen. Die Einkommens- und Verdienstverhältnisse des Beschuldigten können von Schaffhausen aus nicht weniger gut festgestellt werden als von einem seiner stets wechselnden Arbeitsorte aus. Es ist namentlich nicht zu ersehen, inwiefern das vom Kanton Bern aus, den Trapletti schon wieder verlassen hat, besser geschehen könnte. Dazu kommt, dass der Beschuldigte in Schaffhausen seine Schriften hinterlegt hat, diesen Ort also als Mittelpunkt seines Lebens betrachtet, soweit ein herumreisender Musiker ein solches Zentrum überhaupt haben kann. Mit Schaffhausen bleibt er durch seine Angehörigen, die er von Zeit zu Zeit besucht, auch am engsten in Verbindung. Hier kann über ihn und seinen jeweiligen Aufenthaltsort Auskunft erhalten werden, BGE 99 IV 180 S. 183 und hier behalten ihn wegen seines polizeilichen Wohnsitzes vermutlich auch die Steuerbehörden im Auge. In Schaffhausen wurde auch der Prozess durchgeführt, in dem der Beschuldigte zur Leistung der Unterhaltsbeiträge verpflichtet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